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A" w:rsidRDefault="00EE13CA" w:rsidP="00EE13CA">
      <w:pPr>
        <w:pStyle w:val="Bezodstpw"/>
        <w:jc w:val="right"/>
        <w:rPr>
          <w:lang w:eastAsia="pl-PL"/>
        </w:rPr>
      </w:pPr>
      <w:r>
        <w:rPr>
          <w:lang w:eastAsia="pl-PL"/>
        </w:rPr>
        <w:t>Załącznik nr 1</w:t>
      </w:r>
    </w:p>
    <w:p w:rsidR="00EE13CA" w:rsidRDefault="00EE13CA" w:rsidP="00EE13CA">
      <w:pPr>
        <w:pStyle w:val="Bezodstpw"/>
        <w:jc w:val="right"/>
        <w:rPr>
          <w:lang w:eastAsia="pl-PL"/>
        </w:rPr>
      </w:pPr>
      <w:r>
        <w:rPr>
          <w:lang w:eastAsia="pl-PL"/>
        </w:rPr>
        <w:t xml:space="preserve">do Zarządzenia Nr 3/2024 </w:t>
      </w:r>
      <w:r>
        <w:rPr>
          <w:lang w:eastAsia="pl-PL"/>
        </w:rPr>
        <w:br/>
        <w:t>Dyrektora Przedszkola w Rybnie</w:t>
      </w:r>
    </w:p>
    <w:p w:rsidR="00EE13CA" w:rsidRDefault="00EE13CA" w:rsidP="00EE13CA">
      <w:pPr>
        <w:pStyle w:val="Bezodstpw"/>
        <w:jc w:val="right"/>
        <w:rPr>
          <w:lang w:eastAsia="pl-PL"/>
        </w:rPr>
      </w:pPr>
      <w:r>
        <w:rPr>
          <w:lang w:eastAsia="pl-PL"/>
        </w:rPr>
        <w:t>z dnia 12 lutego 2024 r.</w:t>
      </w:r>
    </w:p>
    <w:p w:rsidR="00EE13CA" w:rsidRDefault="00EE13CA" w:rsidP="00EE13CA">
      <w:pPr>
        <w:spacing w:after="150" w:line="240" w:lineRule="auto"/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EE13CA" w:rsidRDefault="00EE13CA" w:rsidP="00EE13CA">
      <w:pPr>
        <w:pStyle w:val="Standard"/>
        <w:spacing w:after="0" w:line="276" w:lineRule="auto"/>
        <w:jc w:val="right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</w:rPr>
        <w:t>Standardy ochrony małoletnich przed krzywdzeniem w Przedszkolu w Rybnie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Wstęp</w:t>
      </w:r>
    </w:p>
    <w:p w:rsidR="00EE13CA" w:rsidRDefault="00EE13CA" w:rsidP="00EE13CA">
      <w:pPr>
        <w:pStyle w:val="Standard"/>
        <w:spacing w:after="0" w:line="276" w:lineRule="auto"/>
        <w:jc w:val="both"/>
        <w:rPr>
          <w:bCs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Cs/>
        </w:rPr>
        <w:t xml:space="preserve">Dobro i bezpieczeństwo małoletnich </w:t>
      </w:r>
      <w:r>
        <w:rPr>
          <w:b/>
        </w:rPr>
        <w:t xml:space="preserve"> </w:t>
      </w:r>
      <w:r>
        <w:t xml:space="preserve">w Przedszkolu w Rybnie </w:t>
      </w:r>
      <w:r>
        <w:rPr>
          <w:bCs/>
        </w:rPr>
        <w:t>są priorytetem wszelkich działań podejmowanych przez pracowników na rzecz małoletnich. Pracownik Przedszkola traktuje każde dziecko z szacunkiem oraz uwzględnia jego potrzeby. Realizując zadania Przedszkola, działa w ramach obowiązującego prawa, obowiązujących w niej przepisów wewnętrznych oraz w ramach posiadanych kompetencji. Niedopuszczalne jest, by pracownik</w:t>
      </w:r>
      <w:r>
        <w:t xml:space="preserve"> Przedszkola stosował wobec małoletniego jakiekolwiek formy przemocy.</w:t>
      </w:r>
    </w:p>
    <w:p w:rsidR="00EE13CA" w:rsidRDefault="00EE13CA" w:rsidP="00EE13CA">
      <w:pPr>
        <w:pStyle w:val="Standard"/>
        <w:spacing w:after="0" w:line="276" w:lineRule="auto"/>
        <w:jc w:val="both"/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t>Niniejszy system ochrony małoletnich przed krzywdzeniem</w:t>
      </w:r>
      <w:r>
        <w:rPr>
          <w:b/>
        </w:rPr>
        <w:t xml:space="preserve"> </w:t>
      </w:r>
      <w:r>
        <w:t>określa</w:t>
      </w:r>
      <w:r>
        <w:rPr>
          <w:b/>
        </w:rPr>
        <w:t xml:space="preserve"> </w:t>
      </w:r>
      <w: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małoletnich do niego uczęszczających.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t xml:space="preserve">Niniejsze Standardy ochrony małoletnich przed krzywdzeniem zostały opublikowane na stronie internetowej Przedszkola www.przedszkole.gminarybno.pl. Są szeroko promowane wśród całego personelu, rodziców i małoletnich uczęszczających do Przedszkola. Poszczególne grupy małoletnich są aktywnie zapoznawane z poniższymi Standardami poprzez prowadzone działania edukacyjne </w:t>
      </w:r>
      <w:r>
        <w:br/>
        <w:t>i informacyjne.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Rozdział I</w:t>
      </w: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Obszary Standardów Ochrony Małoletnich przed krzywdzeniem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  <w:bCs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 § 1.</w:t>
      </w:r>
    </w:p>
    <w:p w:rsidR="00EE13CA" w:rsidRDefault="00EE13CA" w:rsidP="00EE13CA">
      <w:pPr>
        <w:pStyle w:val="Standard"/>
        <w:numPr>
          <w:ilvl w:val="0"/>
          <w:numId w:val="8"/>
        </w:numPr>
        <w:spacing w:after="0" w:line="276" w:lineRule="auto"/>
        <w:jc w:val="both"/>
      </w:pPr>
      <w:r>
        <w:rPr>
          <w:bCs/>
        </w:rPr>
        <w:t>Standardy Ochrony Małoletnich tworzą bezpieczne i przyjazne środowisko Przedszkola. Obejmują cztery obszary:</w:t>
      </w:r>
    </w:p>
    <w:p w:rsidR="00EE13CA" w:rsidRDefault="00EE13CA" w:rsidP="00EE13CA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rPr>
          <w:bCs/>
        </w:rPr>
        <w:t>Politykę Ochrony Małoletnich, która określa:</w:t>
      </w:r>
    </w:p>
    <w:p w:rsidR="00EE13CA" w:rsidRDefault="00EE13CA" w:rsidP="00EE13CA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bCs/>
        </w:rPr>
        <w:t>zasady bezpiecznej rekrutacji personelu do pracy w Przedszkolu,</w:t>
      </w:r>
    </w:p>
    <w:p w:rsidR="00EE13CA" w:rsidRDefault="00EE13CA" w:rsidP="00EE13CA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bCs/>
        </w:rPr>
        <w:t>zasady bezpiecznych relacji personel – nieletni,</w:t>
      </w:r>
    </w:p>
    <w:p w:rsidR="00EE13CA" w:rsidRDefault="00EE13CA" w:rsidP="00EE13CA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bCs/>
        </w:rPr>
        <w:t>zasady reagowania w Przedszkolu na przypadki podejrzenia, że nieletni doświadcza krzywdzenia,</w:t>
      </w:r>
    </w:p>
    <w:p w:rsidR="00EE13CA" w:rsidRDefault="00EE13CA" w:rsidP="00EE13CA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bCs/>
        </w:rPr>
        <w:t>zasady ochrony wizerunku dzieci i ich danych osobowych.</w:t>
      </w:r>
    </w:p>
    <w:p w:rsidR="00EE13CA" w:rsidRDefault="00EE13CA" w:rsidP="00EE13CA">
      <w:pPr>
        <w:spacing w:before="240" w:after="0" w:line="276" w:lineRule="auto"/>
        <w:jc w:val="both"/>
      </w:pPr>
      <w:r>
        <w:rPr>
          <w:bCs/>
        </w:rPr>
        <w:t xml:space="preserve">              2)personel – obszar, który określa:</w:t>
      </w:r>
    </w:p>
    <w:p w:rsidR="00EE13CA" w:rsidRDefault="00EE13CA" w:rsidP="00EE13CA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</w:pPr>
      <w:r>
        <w:rPr>
          <w:bCs/>
        </w:rPr>
        <w:t xml:space="preserve">zasady rekrutacji personelu pracującego z dziećmi w Przedszkolu, w tym obowiązek uzyskiwania danych z Rejestru Sprawców Przestępstw na Tle Seksualnym o każdym członku </w:t>
      </w:r>
      <w:r>
        <w:rPr>
          <w:bCs/>
        </w:rPr>
        <w:lastRenderedPageBreak/>
        <w:t xml:space="preserve">personelu oraz, gdy jest to dozwolone przepisami obowiązującego prawa, informacji </w:t>
      </w:r>
      <w:r>
        <w:rPr>
          <w:bCs/>
        </w:rPr>
        <w:br/>
        <w:t>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E13CA" w:rsidRDefault="00EE13CA" w:rsidP="00EE13CA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</w:pPr>
      <w:r>
        <w:t xml:space="preserve">zasady bezpiecznych relacji personelu Przedszkola z małoletnimi, wskazujące, jakie zachowania na terenie Przedszkola są niedozwolone, a jakie pożądane w kontakcie </w:t>
      </w:r>
      <w:r>
        <w:br/>
        <w:t>z dzieckiem,</w:t>
      </w:r>
    </w:p>
    <w:p w:rsidR="00EE13CA" w:rsidRDefault="00EE13CA" w:rsidP="00EE13CA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</w:pPr>
      <w:r>
        <w:t>zasady zapewniania pracownikom podstawowej wiedzy na temat ochrony małoletnich przed krzywdzeniem oraz udzielania pomocy dzieciom  w sytuacjach zagrożenia, w zakresie:</w:t>
      </w:r>
    </w:p>
    <w:p w:rsidR="00EE13CA" w:rsidRDefault="00EE13CA" w:rsidP="00EE13CA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rozpoznawania symptomów krzywdzenia dzieci,</w:t>
      </w:r>
    </w:p>
    <w:p w:rsidR="00EE13CA" w:rsidRDefault="00EE13CA" w:rsidP="00EE13CA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procedur interwencji w przypadku podejrzeń krzywdzenia,</w:t>
      </w:r>
    </w:p>
    <w:p w:rsidR="00EE13CA" w:rsidRDefault="00EE13CA" w:rsidP="00EE13CA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odpowiedzialności prawnej pracowników Przedszkola, zobowiązanych do podejmowania interwencji,</w:t>
      </w:r>
    </w:p>
    <w:p w:rsidR="00EE13CA" w:rsidRDefault="00EE13CA" w:rsidP="00EE13C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zasady przygotowania personelu Przedszkola (pracującego z dziećmi i ich rodzicami/opiekunami) do edukowania:</w:t>
      </w:r>
    </w:p>
    <w:p w:rsidR="00EE13CA" w:rsidRDefault="00EE13CA" w:rsidP="00EE13CA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dzieci  na temat ochrony przed przemocą i wykorzystywaniem,</w:t>
      </w:r>
    </w:p>
    <w:p w:rsidR="00EE13CA" w:rsidRDefault="00EE13CA" w:rsidP="00EE13CA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rodziców/opiekunów na temat wychowania dzieci bez przemocy oraz chronienia ich przed przemocą i wykorzystywaniem,</w:t>
      </w:r>
    </w:p>
    <w:p w:rsidR="00EE13CA" w:rsidRDefault="00EE13CA" w:rsidP="00EE13C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zasady dysponowania materiałami edukacyjnymi dla dzieci, dla rodziców oraz aktywnego ich wykorzystania,</w:t>
      </w:r>
    </w:p>
    <w:p w:rsidR="00EE13CA" w:rsidRDefault="00EE13CA" w:rsidP="00EE13CA">
      <w:pPr>
        <w:spacing w:after="0" w:line="276" w:lineRule="auto"/>
        <w:jc w:val="both"/>
      </w:pPr>
      <w:r>
        <w:t xml:space="preserve">        3)procedury – określają działania, jakie należy podjąć w sytuacji krzywdzenia małoletniego lub zagrożenia jego bezpieczeństwa ze strony personelu Przedszkola, członków rodziny i osób obcych:</w:t>
      </w:r>
    </w:p>
    <w:p w:rsidR="00EE13CA" w:rsidRDefault="00EE13CA" w:rsidP="00EE13CA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zasady dysponowania przez Przedszkole danymi kontaktowymi lokalnych instytucji                   i organizacji, które zajmują się interwencją i pomocą w sytuacjach krzywdzenia dzieci                    i młodzieży (policja, sąd rodzinny, centrum interwencji kryzysowej, ośrodek pomocy społecznej, placówki ochrony zdrowia) oraz zapewnienia do nich dostępu wszystkim pracownikom,</w:t>
      </w:r>
    </w:p>
    <w:p w:rsidR="00EE13CA" w:rsidRDefault="00EE13CA" w:rsidP="00EE13CA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zasady eksponowania informacji dla dzieci na temat możliwości uzyskania pomocy                 w trudnej sytuacji, w tym numerów bezpłatnych telefonów zaufania dla dzieci i młodzieży,</w:t>
      </w:r>
    </w:p>
    <w:p w:rsidR="00EE13CA" w:rsidRDefault="00EE13CA" w:rsidP="00EE13CA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monitoring – obszar, który określa:</w:t>
      </w:r>
    </w:p>
    <w:p w:rsidR="00EE13CA" w:rsidRDefault="00EE13CA" w:rsidP="00EE13CA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</w:pPr>
      <w: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EE13CA" w:rsidRDefault="00EE13CA" w:rsidP="00EE13CA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</w:pPr>
      <w:r>
        <w:t>zasady organizowania przez Przedszkole konsultacji z  rodzicami/opiekunami dzieci.</w:t>
      </w:r>
    </w:p>
    <w:p w:rsidR="00EE13CA" w:rsidRDefault="00EE13CA" w:rsidP="00EE13CA">
      <w:pPr>
        <w:pStyle w:val="Standard"/>
        <w:spacing w:after="0" w:line="276" w:lineRule="auto"/>
        <w:jc w:val="both"/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Rozdział II</w:t>
      </w: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Słowniczek terminów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    § </w:t>
      </w:r>
      <w:r>
        <w:rPr>
          <w:rFonts w:eastAsia="Calibri"/>
          <w:b/>
        </w:rPr>
        <w:t>2.</w:t>
      </w:r>
    </w:p>
    <w:p w:rsidR="00EE13CA" w:rsidRDefault="00EE13CA" w:rsidP="00EE13CA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</w:pPr>
      <w:r>
        <w:rPr>
          <w:rFonts w:eastAsia="Calibri"/>
          <w:bCs/>
        </w:rPr>
        <w:t xml:space="preserve">Małoletni </w:t>
      </w:r>
      <w:r>
        <w:rPr>
          <w:rFonts w:eastAsia="Calibri"/>
        </w:rPr>
        <w:t>– to każda osoba do ukończenia 18. roku życia.</w:t>
      </w:r>
    </w:p>
    <w:p w:rsidR="00EE13CA" w:rsidRDefault="00EE13CA" w:rsidP="00EE13CA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eastAsia="Calibri"/>
          <w:bCs/>
        </w:rPr>
        <w:t xml:space="preserve">Krzywdzenie małoletniego </w:t>
      </w:r>
      <w:r>
        <w:rPr>
          <w:rFonts w:eastAsia="Calibri"/>
        </w:rPr>
        <w:t>– popełnienie czynu zabronionego lub czynu karalnego na szkodę dziecka lub zagrożenie dobra dziecka, w tym jego zaniedbanie.</w:t>
      </w:r>
    </w:p>
    <w:p w:rsidR="00EE13CA" w:rsidRDefault="00EE13CA" w:rsidP="00EE13CA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eastAsia="Calibri"/>
          <w:bCs/>
        </w:rPr>
        <w:lastRenderedPageBreak/>
        <w:t xml:space="preserve">Personel </w:t>
      </w:r>
      <w:r>
        <w:rPr>
          <w:rFonts w:eastAsia="Calibri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EE13CA" w:rsidRDefault="00EE13CA" w:rsidP="00EE13CA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eastAsia="Calibri"/>
          <w:bCs/>
        </w:rPr>
        <w:t xml:space="preserve">Opiekun dziecka </w:t>
      </w:r>
      <w:r>
        <w:rPr>
          <w:rFonts w:eastAsia="Calibri"/>
        </w:rPr>
        <w:t>– osoba uprawniona do reprezentowania dziecka, w szczególności jego rodzic lub opiekun prawny, a także rodzic zastępczy.</w:t>
      </w:r>
    </w:p>
    <w:p w:rsidR="00EE13CA" w:rsidRDefault="00EE13CA" w:rsidP="00EE13CA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eastAsia="Calibri"/>
          <w:bCs/>
        </w:rPr>
        <w:t xml:space="preserve">Instytucja </w:t>
      </w:r>
      <w:r>
        <w:rPr>
          <w:rFonts w:eastAsia="Calibri"/>
        </w:rPr>
        <w:t>– każda instytucja świadcząca usługi dzieciom lub działająca na rzecz dzieci.</w:t>
      </w:r>
    </w:p>
    <w:p w:rsidR="00EE13CA" w:rsidRDefault="00EE13CA" w:rsidP="00EE13CA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eastAsia="Calibri"/>
        </w:rPr>
        <w:t>Dyrektor – osoba, organ lub podmiot, który w strukturze danego przedszkola jest uprawniony do podejmowania decyzji.</w:t>
      </w:r>
    </w:p>
    <w:p w:rsidR="00EE13CA" w:rsidRDefault="00EE13CA" w:rsidP="00EE13CA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eastAsia="Calibri"/>
        </w:rPr>
        <w:t>Zgoda rodzica dziecka oznacza zgodę co najmniej jednego z rodziców dziecka. Jednak                             w przypadku braku porozumienia między rodzicami dziecka konieczne jest poinformowanie rodziców o konieczności rozstrzygnięcia sprawy przez sąd rodzinny.</w:t>
      </w:r>
    </w:p>
    <w:p w:rsidR="00EE13CA" w:rsidRDefault="00EE13CA" w:rsidP="00EE13CA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eastAsia="Calibri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:rsidR="00EE13CA" w:rsidRDefault="00EE13CA" w:rsidP="00EE13CA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eastAsia="Calibri"/>
        </w:rPr>
        <w:t>Dane osobowe dziecka to wszelkie informacje umożliwiające identyfikację małoletniego.</w:t>
      </w:r>
    </w:p>
    <w:p w:rsidR="00EE13CA" w:rsidRDefault="00EE13CA" w:rsidP="00EE13CA">
      <w:pPr>
        <w:pStyle w:val="Standard"/>
        <w:spacing w:after="0" w:line="276" w:lineRule="auto"/>
        <w:jc w:val="both"/>
        <w:rPr>
          <w:rFonts w:eastAsia="Calibri"/>
          <w:b/>
        </w:rPr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</w:rPr>
        <w:t>Rozdział III</w:t>
      </w: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</w:rPr>
        <w:t>Czynniki ryzyka i symptomy krzywdzenia dzieci – zasady rozpoznawania i reagowania</w:t>
      </w:r>
    </w:p>
    <w:p w:rsidR="00EE13CA" w:rsidRDefault="00EE13CA" w:rsidP="00EE13CA">
      <w:pPr>
        <w:pStyle w:val="Standard"/>
        <w:spacing w:after="0" w:line="276" w:lineRule="auto"/>
        <w:jc w:val="both"/>
        <w:rPr>
          <w:rFonts w:eastAsia="Calibri"/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rFonts w:eastAsia="Calibri"/>
          <w:b/>
        </w:rPr>
        <w:t xml:space="preserve">                                                                                     § 3.</w:t>
      </w:r>
    </w:p>
    <w:p w:rsidR="00EE13CA" w:rsidRDefault="00EE13CA" w:rsidP="00EE13CA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</w:pPr>
      <w:r>
        <w:t>Rekrutacja pracowników Przedszkola odbywa się zgodnie z zasadami bezpiecznej rekrutacji personelu. Zasady Rekrutacji stanowią Załącznik nr 1 do niniejszych Standardów.</w:t>
      </w:r>
    </w:p>
    <w:p w:rsidR="00EE13CA" w:rsidRDefault="00EE13CA" w:rsidP="00EE13C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t>Pracownicy znają i stosują zasady bezpiecznych relacji personel – małoletni ustalone                                w Przedszkolu. Zasady stanowią Załącznik nr 2 do niniejszych Standardów.</w:t>
      </w:r>
    </w:p>
    <w:p w:rsidR="00EE13CA" w:rsidRDefault="00EE13CA" w:rsidP="00EE13C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t>Pracownicy Przedszkola posiadają wiedzę na temat czynników ryzyka i symptomów krzywdzenia małoletnich i zwracają na nie uwagę w ramach wykonywanych obowiązków.</w:t>
      </w:r>
    </w:p>
    <w:p w:rsidR="00EE13CA" w:rsidRDefault="00EE13CA" w:rsidP="00EE13C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t>Pracownicy Przedszkola monitorują sytuację i dobrostan małoletniego uczęszczającego do Przedszkola.</w:t>
      </w:r>
    </w:p>
    <w:p w:rsidR="00EE13CA" w:rsidRDefault="00EE13CA" w:rsidP="00EE13C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t>W przypadku zidentyfikowania czynników ryzyka pracownicy Przedszkola podejmują rozmowę                 z rodzicami, przekazując informacje na temat dostępnej oferty wsparcia i motywując ich do szukania dla siebie pomocy.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</w:rPr>
        <w:t>Rozdział IV</w:t>
      </w: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</w:rPr>
        <w:t>Zasady reagowania na przypadki podejrzenia, że małoletni doświadcza krzywdzenia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§ </w:t>
      </w:r>
      <w:r>
        <w:rPr>
          <w:rFonts w:eastAsia="Calibri"/>
          <w:b/>
        </w:rPr>
        <w:t>4.</w:t>
      </w:r>
    </w:p>
    <w:p w:rsidR="00EE13CA" w:rsidRDefault="00EE13CA" w:rsidP="00EE13CA">
      <w:pPr>
        <w:pStyle w:val="Standard"/>
        <w:spacing w:after="0" w:line="276" w:lineRule="auto"/>
        <w:jc w:val="both"/>
      </w:pPr>
      <w:r>
        <w:t>W przypadku podjęcia przez pracownika Przedszkola podejrzenia, że dziecko jest krzywdzone, pracownik ma obowiązek sporządzenia notatki służbowej i przekazania uzyskanej informacji (do wyboru) dyrektorowi Przedszkola/ wychowawcy / pedagogowi specjalnemu / psychologowi.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    § </w:t>
      </w:r>
      <w:r>
        <w:rPr>
          <w:rFonts w:eastAsia="Calibri"/>
          <w:b/>
        </w:rPr>
        <w:t>5.</w:t>
      </w:r>
    </w:p>
    <w:p w:rsidR="00EE13CA" w:rsidRDefault="00EE13CA" w:rsidP="00EE13CA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</w:pPr>
      <w:r>
        <w:t>Po uzyskaniu informacji, dyrektor Przedszkola/ pedagog specjalny / psycholog (do wyboru) wzywa opiekunów dziecka, którego krzywdzenie podejrzewa i informuje ich o podejrzeniu.</w:t>
      </w:r>
    </w:p>
    <w:p w:rsidR="00EE13CA" w:rsidRDefault="00EE13CA" w:rsidP="00EE13CA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</w:pPr>
      <w:r>
        <w:lastRenderedPageBreak/>
        <w:t>Wyznaczona przez dyrektora Przedszkola osoba (np. pedagog/psycholog) sporządza opis sytuacji przedszkolnej i rodzinnej dziecka na podstawie rozmów z małoletnim, nauczycielami, wychowawcą i rodzicami oraz opracowuje plan pomocy małoletniemu.</w:t>
      </w:r>
    </w:p>
    <w:p w:rsidR="00EE13CA" w:rsidRDefault="00EE13CA" w:rsidP="00EE13CA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</w:pPr>
      <w:r>
        <w:t>Plan pomocy małoletniemu powinien zawierać wskazania dotyczące:</w:t>
      </w:r>
    </w:p>
    <w:p w:rsidR="00EE13CA" w:rsidRDefault="00EE13CA" w:rsidP="00EE13CA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</w:pPr>
      <w:r>
        <w:t>podjęcia przez Przedszkole działań w celu zapewnienia dziecku bezpieczeństwa, w tym zgłoszenie podejrzenia krzywdzenia do odpowiedniej instytucji,</w:t>
      </w:r>
    </w:p>
    <w:p w:rsidR="00EE13CA" w:rsidRDefault="00EE13CA" w:rsidP="00EE13CA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</w:pPr>
      <w:r>
        <w:t>wsparcia, jakie zaoferuje dziecku Przedszkole.</w:t>
      </w:r>
    </w:p>
    <w:p w:rsidR="00EE13CA" w:rsidRDefault="00EE13CA" w:rsidP="00EE13CA">
      <w:pPr>
        <w:pStyle w:val="Standard"/>
        <w:spacing w:after="0" w:line="276" w:lineRule="auto"/>
        <w:jc w:val="both"/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§ </w:t>
      </w:r>
      <w:r>
        <w:rPr>
          <w:rFonts w:eastAsia="Calibri"/>
          <w:b/>
        </w:rPr>
        <w:t>6</w:t>
      </w:r>
      <w:r>
        <w:rPr>
          <w:b/>
        </w:rPr>
        <w:t>.</w:t>
      </w:r>
    </w:p>
    <w:p w:rsidR="00EE13CA" w:rsidRDefault="00EE13CA" w:rsidP="00EE13CA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</w:pPr>
      <w:r>
        <w:t xml:space="preserve">Pedagog specjalny /psycholog informuje rodziców/opiekunów o obowiązku Przedszkola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  <w:r>
        <w:rPr>
          <w:b/>
          <w:bCs/>
        </w:rPr>
        <w:t>Pracownicy Przedszkola uczestniczą w realizacji procedury „Niebieskiej Karty”, w tym uprawnieni są do samodzielnego jej wszczynania.</w:t>
      </w:r>
    </w:p>
    <w:p w:rsidR="00EE13CA" w:rsidRDefault="00EE13CA" w:rsidP="00EE13CA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t>Po poinformowaniu rodziców/opiekunów małoletniego przez pedagoga specjalnego 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E13CA" w:rsidRDefault="00EE13CA" w:rsidP="00EE13CA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t>Dalszy tok postępowania leży w kompetencjach instytucji wskazanych w punkcie 2.</w:t>
      </w: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</w:t>
      </w: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   § </w:t>
      </w:r>
      <w:r>
        <w:rPr>
          <w:rFonts w:eastAsia="Calibri"/>
          <w:b/>
        </w:rPr>
        <w:t>7</w:t>
      </w:r>
    </w:p>
    <w:p w:rsidR="00EE13CA" w:rsidRDefault="00EE13CA" w:rsidP="00EE13CA">
      <w:pPr>
        <w:pStyle w:val="Akapitzlist"/>
        <w:numPr>
          <w:ilvl w:val="0"/>
          <w:numId w:val="30"/>
        </w:numPr>
        <w:spacing w:after="0" w:line="276" w:lineRule="auto"/>
        <w:ind w:left="357" w:hanging="357"/>
        <w:jc w:val="both"/>
      </w:pPr>
      <w:r>
        <w:t>Z przebiegu interwencji sporządza się kartę interwencji, której wzór stanowi Załącznik nr 3 do niniejszych Standardów. Kartę tę załącza się do dokumentacji dziecka.</w:t>
      </w:r>
    </w:p>
    <w:p w:rsidR="00EE13CA" w:rsidRDefault="00EE13CA" w:rsidP="00EE13CA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</w:pPr>
      <w:r>
        <w:t>Wszyscy pracownicy Przedszkola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Rozdział V</w:t>
      </w: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Zasady ochrony wizerunku dziecka i danych osobowych małoletnich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 § </w:t>
      </w:r>
      <w:r>
        <w:rPr>
          <w:rFonts w:eastAsia="Calibri"/>
          <w:b/>
        </w:rPr>
        <w:t>8</w:t>
      </w:r>
      <w:r>
        <w:rPr>
          <w:b/>
        </w:rPr>
        <w:t>.</w:t>
      </w:r>
    </w:p>
    <w:p w:rsidR="00EE13CA" w:rsidRDefault="00EE13CA" w:rsidP="00EE13CA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</w:pPr>
      <w:r>
        <w:t>Przedszkole, uznając prawo nieletniego do prywatności i ochrony dóbr osobistych, zapewnia ochronę wizerunku małoletniego, zapewnia najwyższe standardy ochrony danych osobowych małoletnich zgodnie z obowiązującymi przepisami prawa.</w:t>
      </w:r>
    </w:p>
    <w:p w:rsidR="00EE13CA" w:rsidRDefault="00EE13CA" w:rsidP="00EE13CA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</w:pPr>
      <w:r>
        <w:t>Wytyczne dotyczące zasad ochrony wizerunku dziecka i danych osobowych stanowią Załącznik nr 4 do niniejszych Standardów.</w:t>
      </w:r>
    </w:p>
    <w:p w:rsidR="00EE13CA" w:rsidRDefault="00EE13CA" w:rsidP="00EE13CA">
      <w:pPr>
        <w:pStyle w:val="Standard"/>
        <w:spacing w:after="0" w:line="276" w:lineRule="auto"/>
        <w:jc w:val="both"/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§ </w:t>
      </w:r>
      <w:r>
        <w:rPr>
          <w:rFonts w:eastAsia="Calibri"/>
          <w:b/>
        </w:rPr>
        <w:t>9</w:t>
      </w:r>
      <w:r>
        <w:rPr>
          <w:b/>
        </w:rPr>
        <w:t>.</w:t>
      </w:r>
    </w:p>
    <w:p w:rsidR="00EE13CA" w:rsidRDefault="00EE13CA" w:rsidP="00EE13CA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</w:pPr>
      <w:r>
        <w:t>Pracownikowi Przedszkola nie wolno umożliwiać przedstawicielom mediów utrwalania wizerunku dziecka (filmowanie, fotografowanie, nagrywanie głosu dziecka) na jego terenie bez pisemnej zgody rodzica lub opiekuna prawnego małoletniego.</w:t>
      </w:r>
    </w:p>
    <w:p w:rsidR="00EE13CA" w:rsidRDefault="00EE13CA" w:rsidP="00EE13CA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</w:pPr>
      <w:r>
        <w:lastRenderedPageBreak/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>
        <w:rPr>
          <w:b/>
        </w:rPr>
        <w:t xml:space="preserve"> </w:t>
      </w:r>
      <w:r>
        <w:t>na stronie internetowej Przedszkola (niniejsza zgoda obejmuje wszelkie formy publikacji, w szczególności plakaty reklamowe, ulotki, drukowane materiały promocyjne, reklamę w gazetach i czasopismach oraz w Internecie itp.) lub ustalić procedurę uzyskania zgody. Niedopuszczalne jest podanie przedstawicielowi mediów danych kontaktowych do rodzica/opiekuna dziecka – bez wiedzy i zgody tego opiekuna.</w:t>
      </w:r>
    </w:p>
    <w:p w:rsidR="00EE13CA" w:rsidRDefault="00EE13CA" w:rsidP="00EE13CA">
      <w:pPr>
        <w:pStyle w:val="Standard"/>
        <w:spacing w:after="0" w:line="276" w:lineRule="auto"/>
        <w:jc w:val="both"/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§ </w:t>
      </w:r>
      <w:r>
        <w:rPr>
          <w:rFonts w:eastAsia="Calibri"/>
          <w:b/>
        </w:rPr>
        <w:t>10</w:t>
      </w:r>
      <w:r>
        <w:rPr>
          <w:b/>
        </w:rPr>
        <w:t>.</w:t>
      </w:r>
    </w:p>
    <w:p w:rsidR="00EE13CA" w:rsidRDefault="00EE13CA" w:rsidP="00EE13CA">
      <w:pPr>
        <w:spacing w:after="0" w:line="276" w:lineRule="auto"/>
        <w:jc w:val="both"/>
      </w:pPr>
      <w:r>
        <w:t>Upublicznienie przez pracownika Przedszkola wizerunku dziecka utrwalonego w jakiejkolwiek formie (fotografia, nagranie audio-wideo) wymaga pisemnej zgody rodzica lub opiekuna prawnego małoletniego.</w:t>
      </w:r>
    </w:p>
    <w:p w:rsidR="00EE13CA" w:rsidRDefault="00EE13CA" w:rsidP="00EE13CA">
      <w:pPr>
        <w:pStyle w:val="Standard"/>
        <w:spacing w:after="0" w:line="276" w:lineRule="auto"/>
        <w:jc w:val="both"/>
        <w:rPr>
          <w:color w:val="FF0000"/>
        </w:rPr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Rozdział VI</w:t>
      </w: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Zasady bezpiecznego korzystania z Internetu i mediów elektronicznych w Przedszkolu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§ </w:t>
      </w:r>
      <w:r>
        <w:rPr>
          <w:rFonts w:eastAsia="Calibri"/>
          <w:b/>
        </w:rPr>
        <w:t>11</w:t>
      </w:r>
      <w:r>
        <w:rPr>
          <w:b/>
        </w:rPr>
        <w:t>.</w:t>
      </w:r>
    </w:p>
    <w:p w:rsidR="00EE13CA" w:rsidRDefault="00EE13CA" w:rsidP="00EE13CA">
      <w:pPr>
        <w:pStyle w:val="Akapitzlist"/>
        <w:numPr>
          <w:ilvl w:val="0"/>
          <w:numId w:val="37"/>
        </w:numPr>
        <w:spacing w:after="0" w:line="276" w:lineRule="auto"/>
        <w:ind w:left="357" w:hanging="357"/>
        <w:jc w:val="both"/>
      </w:pPr>
      <w:r>
        <w:t xml:space="preserve">Przedszkole, zapewniając dzieciom dostęp do Internetu, podejmuje działania zabezpieczające dzieci przed dostępem do treści, które mogą stanowić zagrożenie dla ich prawidłowego rozwoju. W szczególności instaluje i aktualizuje oprogramowanie zabezpieczające. Zasady bezpiecznego korzystania z Internetu i mediów elektronicznych stanowią Złącznik nr  5 do niniejszych Standardów. </w:t>
      </w:r>
    </w:p>
    <w:p w:rsidR="00EE13CA" w:rsidRDefault="00EE13CA" w:rsidP="00EE13CA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</w:pPr>
      <w:r>
        <w:t>W przypadku, gdy dostęp do Internetu w Przedszkolu realizowany jest pod nadzorem pracownika Przedszkola, pracownik zobowiązany jest informować nieletnich o zasadach bezpiecznego korzystania z Internetu oraz czuwać nad ich bezpieczeństwem podczas korzystania z Internetu w czasie zajęć.</w:t>
      </w:r>
    </w:p>
    <w:p w:rsidR="00EE13CA" w:rsidRDefault="00EE13CA" w:rsidP="00EE13CA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Przedszkole zapewnia stały dostęp do materiałów edukacyjnych, dotyczących bezpiecznego korzystania z Internetu, przy komputerach, z których możliwy jest dostęp .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§ </w:t>
      </w:r>
      <w:r>
        <w:rPr>
          <w:rFonts w:eastAsia="Calibri"/>
          <w:b/>
        </w:rPr>
        <w:t>12</w:t>
      </w:r>
      <w:r>
        <w:rPr>
          <w:b/>
        </w:rPr>
        <w:t>.</w:t>
      </w:r>
    </w:p>
    <w:p w:rsidR="00EE13CA" w:rsidRDefault="00EE13CA" w:rsidP="00EE13CA">
      <w:pPr>
        <w:pStyle w:val="Akapitzlist"/>
        <w:numPr>
          <w:ilvl w:val="0"/>
          <w:numId w:val="38"/>
        </w:numP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Osoba odpowiedzialna za dostęp do Internetu w Przedszkolu w porozumieniu z dyrektorem Przedszkola zabezpiecza sieć przed niebezpiecznymi treściami, poprzez instalację i aktualizację odpowiedniego, nowoczesnego oprogramowania.</w:t>
      </w:r>
    </w:p>
    <w:p w:rsidR="00EE13CA" w:rsidRDefault="00EE13CA" w:rsidP="00EE13CA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>
        <w:rPr>
          <w:color w:val="000000"/>
        </w:rPr>
        <w:t xml:space="preserve">Wymienione w punkcie </w:t>
      </w:r>
      <w:r>
        <w:rPr>
          <w:rFonts w:eastAsia="Calibri"/>
          <w:color w:val="000000"/>
        </w:rPr>
        <w:t>1</w:t>
      </w:r>
      <w:r>
        <w:rPr>
          <w:color w:val="000000"/>
        </w:rPr>
        <w:t xml:space="preserve"> oprogramowanie jest aktualizowane w miarę potrzeb .</w:t>
      </w:r>
    </w:p>
    <w:p w:rsidR="00EE13CA" w:rsidRDefault="00EE13CA" w:rsidP="00EE13CA">
      <w:pPr>
        <w:spacing w:after="0" w:line="276" w:lineRule="auto"/>
        <w:jc w:val="both"/>
        <w:rPr>
          <w:color w:val="FF0000"/>
        </w:rPr>
      </w:pPr>
    </w:p>
    <w:p w:rsidR="00EE13CA" w:rsidRDefault="00EE13CA" w:rsidP="00EE13CA">
      <w:pPr>
        <w:pStyle w:val="Akapitzlist"/>
        <w:spacing w:after="0" w:line="276" w:lineRule="auto"/>
        <w:jc w:val="both"/>
        <w:rPr>
          <w:color w:val="FF0000"/>
        </w:rPr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</w:rPr>
        <w:t>Rozdział VII</w:t>
      </w: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</w:rPr>
        <w:t>Monitoring stosowania Standarów Ochrony Małoletnich przed krzywdzeniem w Przedszkolu</w:t>
      </w:r>
    </w:p>
    <w:p w:rsidR="00EE13CA" w:rsidRDefault="00EE13CA" w:rsidP="00EE13CA">
      <w:pPr>
        <w:pStyle w:val="Standard"/>
        <w:spacing w:after="0" w:line="276" w:lineRule="auto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  § </w:t>
      </w:r>
      <w:r>
        <w:rPr>
          <w:rFonts w:eastAsia="Calibri"/>
          <w:b/>
        </w:rPr>
        <w:t>13</w:t>
      </w:r>
      <w:r>
        <w:rPr>
          <w:b/>
        </w:rPr>
        <w:t>.</w:t>
      </w:r>
    </w:p>
    <w:p w:rsidR="00EE13CA" w:rsidRDefault="00EE13CA" w:rsidP="00EE13CA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</w:pPr>
      <w:r>
        <w:t xml:space="preserve">Dyrektor Przedszkola wyznacza  pedagoga specjalnego Marikę </w:t>
      </w:r>
      <w:proofErr w:type="spellStart"/>
      <w:r>
        <w:t>Jadanowską</w:t>
      </w:r>
      <w:proofErr w:type="spellEnd"/>
      <w:r>
        <w:t xml:space="preserve"> na osobę odpowiedzialną za realizację i propagowanie Standardów Ochrony Małoletnich w placówce.</w:t>
      </w:r>
    </w:p>
    <w:p w:rsidR="00EE13CA" w:rsidRDefault="00EE13CA" w:rsidP="00EE13CA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lastRenderedPageBreak/>
        <w:t>Osoba, o której mowa w punkcie 1, jest odpowiedzialna za monitorowanie realizacji Standardów, za reagowanie na sygnały naruszenia Standardów, prowadzenie rejestru zgłoszeń oraz za proponowanie m zmian w Standardach.</w:t>
      </w:r>
    </w:p>
    <w:p w:rsidR="00EE13CA" w:rsidRDefault="00EE13CA" w:rsidP="00EE13CA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t xml:space="preserve">Osoba odpowiedzialna za realizację i propagowanie Standardów Ochrony Małoletnich przeprowadza wśród pracowników Przedszkola, raz na </w:t>
      </w:r>
      <w:r>
        <w:rPr>
          <w:rFonts w:eastAsia="Calibri"/>
        </w:rPr>
        <w:t xml:space="preserve">12 </w:t>
      </w:r>
      <w: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EE13CA" w:rsidRDefault="00EE13CA" w:rsidP="00EE13CA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t>Na podstawie przeprowadzonej ankiety osoba odpowiedzialna za realizację i propagowanie Standardów Ochrony Małoletnich sporządza raport z monitoringu, który następnie przekazuje dyrektorowi Przedszkola.</w:t>
      </w:r>
    </w:p>
    <w:p w:rsidR="00EE13CA" w:rsidRDefault="00EE13CA" w:rsidP="00EE13CA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t xml:space="preserve">Dyrektor Przedszkola na podstawie otrzymanego raportu wprowadza do </w:t>
      </w:r>
      <w:r>
        <w:rPr>
          <w:iCs/>
        </w:rPr>
        <w:t xml:space="preserve">Standardów </w:t>
      </w:r>
      <w:r>
        <w:t>niezbędne zmiany i ogłasza je pracownikom, dzieciom i ich rodzicom/opiekunom.</w:t>
      </w:r>
    </w:p>
    <w:p w:rsidR="00EE13CA" w:rsidRDefault="00EE13CA" w:rsidP="00EE13CA">
      <w:pPr>
        <w:pStyle w:val="Standard"/>
        <w:spacing w:after="0" w:line="276" w:lineRule="auto"/>
        <w:jc w:val="both"/>
      </w:pP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Rozdział VIII</w:t>
      </w:r>
    </w:p>
    <w:p w:rsidR="00EE13CA" w:rsidRDefault="00EE13CA" w:rsidP="00EE13CA">
      <w:pPr>
        <w:pStyle w:val="Standard"/>
        <w:spacing w:after="0" w:line="276" w:lineRule="auto"/>
        <w:jc w:val="center"/>
      </w:pPr>
      <w:r>
        <w:rPr>
          <w:b/>
          <w:bCs/>
        </w:rPr>
        <w:t>Przepisy końcowe</w:t>
      </w:r>
    </w:p>
    <w:p w:rsidR="00EE13CA" w:rsidRDefault="00EE13CA" w:rsidP="00EE13CA">
      <w:pPr>
        <w:pStyle w:val="Standard"/>
        <w:spacing w:after="0" w:line="276" w:lineRule="auto"/>
        <w:jc w:val="both"/>
        <w:rPr>
          <w:b/>
        </w:rPr>
      </w:pPr>
    </w:p>
    <w:p w:rsidR="00EE13CA" w:rsidRDefault="00EE13CA" w:rsidP="00EE13CA">
      <w:pPr>
        <w:pStyle w:val="Standard"/>
        <w:spacing w:after="0" w:line="276" w:lineRule="auto"/>
        <w:jc w:val="both"/>
      </w:pPr>
      <w:r>
        <w:rPr>
          <w:b/>
        </w:rPr>
        <w:t xml:space="preserve">                                                                                     § </w:t>
      </w:r>
      <w:r>
        <w:rPr>
          <w:rFonts w:eastAsia="Calibri"/>
          <w:b/>
        </w:rPr>
        <w:t>14</w:t>
      </w:r>
      <w:r>
        <w:rPr>
          <w:b/>
        </w:rPr>
        <w:t>.</w:t>
      </w:r>
    </w:p>
    <w:p w:rsidR="00EE13CA" w:rsidRDefault="00EE13CA" w:rsidP="00EE13CA">
      <w:pPr>
        <w:pStyle w:val="Akapitzlist"/>
        <w:numPr>
          <w:ilvl w:val="0"/>
          <w:numId w:val="40"/>
        </w:numPr>
        <w:spacing w:after="0" w:line="276" w:lineRule="auto"/>
        <w:ind w:left="357" w:hanging="357"/>
        <w:jc w:val="both"/>
      </w:pPr>
      <w:r>
        <w:rPr>
          <w:iCs/>
        </w:rPr>
        <w:t xml:space="preserve">Niniejsze Standardy Ochrony Małoletnich przed krzywdzeniem </w:t>
      </w:r>
      <w:r>
        <w:t>wchodzą w życie z dniem ogłoszenia.</w:t>
      </w:r>
    </w:p>
    <w:p w:rsidR="00EE13CA" w:rsidRDefault="00EE13CA" w:rsidP="00EE13CA">
      <w:pPr>
        <w:pStyle w:val="Akapitzlist"/>
        <w:numPr>
          <w:ilvl w:val="0"/>
          <w:numId w:val="36"/>
        </w:numPr>
        <w:spacing w:after="0" w:line="276" w:lineRule="auto"/>
        <w:ind w:left="357" w:hanging="357"/>
        <w:jc w:val="both"/>
      </w:pPr>
      <w:r>
        <w:t>Ogłoszenie następuje w sposób dostępny dla pracowników Przedszkola, dzieciom</w:t>
      </w:r>
      <w:r>
        <w:rPr>
          <w:b/>
        </w:rPr>
        <w:t xml:space="preserve"> </w:t>
      </w:r>
      <w:r>
        <w:t>i ich rodziców/opiekunów, w szczególności poprzez wywieszenie na tablicy ogłoszeń lub w innym widocznym miejscu w siedzibie Przedszkola lub poprzez przesłanie tekstu Standardów pracownikom i rodzicom dzieci drogą elektroniczną, lub poprzez zamieszczenie na stronie internetowej.</w:t>
      </w:r>
    </w:p>
    <w:p w:rsidR="00EE13CA" w:rsidRDefault="00EE13CA" w:rsidP="00EE13CA">
      <w:pPr>
        <w:pStyle w:val="Standard"/>
      </w:pPr>
    </w:p>
    <w:p w:rsidR="00FF49F2" w:rsidRDefault="00FF49F2">
      <w:bookmarkStart w:id="0" w:name="_GoBack"/>
      <w:bookmarkEnd w:id="0"/>
    </w:p>
    <w:sectPr w:rsidR="00FF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x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D94"/>
    <w:multiLevelType w:val="multilevel"/>
    <w:tmpl w:val="7320EEA6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0D85D26"/>
    <w:multiLevelType w:val="multilevel"/>
    <w:tmpl w:val="89B2EF7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3F4"/>
    <w:multiLevelType w:val="multilevel"/>
    <w:tmpl w:val="3A762ED0"/>
    <w:styleLink w:val="WWNum3"/>
    <w:lvl w:ilvl="0">
      <w:start w:val="1"/>
      <w:numFmt w:val="lowerLetter"/>
      <w:lvlText w:val="%1)"/>
      <w:lvlJc w:val="left"/>
      <w:rPr>
        <w:rFonts w:cs="Calibri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3A94242"/>
    <w:multiLevelType w:val="multilevel"/>
    <w:tmpl w:val="64C0739E"/>
    <w:styleLink w:val="WWNum4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4B909E7"/>
    <w:multiLevelType w:val="multilevel"/>
    <w:tmpl w:val="1FA8EDFC"/>
    <w:styleLink w:val="WWNum13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65B0807"/>
    <w:multiLevelType w:val="multilevel"/>
    <w:tmpl w:val="510E128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682531A"/>
    <w:multiLevelType w:val="multilevel"/>
    <w:tmpl w:val="A8A4161E"/>
    <w:styleLink w:val="WWNum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AD54F77"/>
    <w:multiLevelType w:val="multilevel"/>
    <w:tmpl w:val="AC9202F2"/>
    <w:styleLink w:val="WWNum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C9A1187"/>
    <w:multiLevelType w:val="multilevel"/>
    <w:tmpl w:val="57782F84"/>
    <w:styleLink w:val="WWNum2"/>
    <w:lvl w:ilvl="0">
      <w:start w:val="1"/>
      <w:numFmt w:val="lowerLetter"/>
      <w:lvlText w:val="%1)"/>
      <w:lvlJc w:val="left"/>
      <w:rPr>
        <w:rFonts w:cs="Calibri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4C46331"/>
    <w:multiLevelType w:val="multilevel"/>
    <w:tmpl w:val="100E6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6DAB"/>
    <w:multiLevelType w:val="multilevel"/>
    <w:tmpl w:val="25849E00"/>
    <w:styleLink w:val="WWNum15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E57689B"/>
    <w:multiLevelType w:val="multilevel"/>
    <w:tmpl w:val="8BBC0E38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2C453F7"/>
    <w:multiLevelType w:val="multilevel"/>
    <w:tmpl w:val="0924EDEE"/>
    <w:styleLink w:val="WWNum6"/>
    <w:lvl w:ilvl="0">
      <w:start w:val="1"/>
      <w:numFmt w:val="lowerLetter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5BB0617"/>
    <w:multiLevelType w:val="multilevel"/>
    <w:tmpl w:val="A6A6D656"/>
    <w:styleLink w:val="WWNum17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7B85C04"/>
    <w:multiLevelType w:val="multilevel"/>
    <w:tmpl w:val="98047144"/>
    <w:styleLink w:val="WWNum10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CC764C9"/>
    <w:multiLevelType w:val="multilevel"/>
    <w:tmpl w:val="83D296B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DB7417E"/>
    <w:multiLevelType w:val="multilevel"/>
    <w:tmpl w:val="8858384A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E3771FF"/>
    <w:multiLevelType w:val="multilevel"/>
    <w:tmpl w:val="4A1C624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A7E06A9"/>
    <w:multiLevelType w:val="multilevel"/>
    <w:tmpl w:val="6F767BB8"/>
    <w:styleLink w:val="WWNum5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EF07F38"/>
    <w:multiLevelType w:val="multilevel"/>
    <w:tmpl w:val="D4DC8B62"/>
    <w:styleLink w:val="WWNum4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F5A7004"/>
    <w:multiLevelType w:val="multilevel"/>
    <w:tmpl w:val="403EFCA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6"/>
  </w:num>
  <w:num w:numId="6">
    <w:abstractNumId w:val="0"/>
  </w:num>
  <w:num w:numId="7">
    <w:abstractNumId w:val="19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6"/>
    <w:lvlOverride w:ilvl="0"/>
  </w:num>
  <w:num w:numId="13">
    <w:abstractNumId w:val="0"/>
    <w:lvlOverride w:ilvl="0"/>
  </w:num>
  <w:num w:numId="14">
    <w:abstractNumId w:val="19"/>
    <w:lvlOverride w:ilvl="0">
      <w:startOverride w:val="1"/>
    </w:lvlOverride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18"/>
  </w:num>
  <w:num w:numId="19">
    <w:abstractNumId w:val="12"/>
  </w:num>
  <w:num w:numId="20">
    <w:abstractNumId w:val="17"/>
  </w:num>
  <w:num w:numId="21">
    <w:abstractNumId w:val="5"/>
  </w:num>
  <w:num w:numId="22">
    <w:abstractNumId w:val="14"/>
  </w:num>
  <w:num w:numId="23">
    <w:abstractNumId w:val="11"/>
  </w:num>
  <w:num w:numId="24">
    <w:abstractNumId w:val="15"/>
  </w:num>
  <w:num w:numId="25">
    <w:abstractNumId w:val="3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4"/>
  </w:num>
  <w:num w:numId="34">
    <w:abstractNumId w:val="10"/>
  </w:num>
  <w:num w:numId="35">
    <w:abstractNumId w:val="20"/>
  </w:num>
  <w:num w:numId="36">
    <w:abstractNumId w:val="13"/>
  </w:num>
  <w:num w:numId="37">
    <w:abstractNumId w:val="4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A"/>
    <w:rsid w:val="00EE13CA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3CA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13C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EE13CA"/>
    <w:pPr>
      <w:ind w:left="720"/>
    </w:pPr>
  </w:style>
  <w:style w:type="paragraph" w:styleId="Bezodstpw">
    <w:name w:val="No Spacing"/>
    <w:rsid w:val="00EE13C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numbering" w:customStyle="1" w:styleId="WWNum1">
    <w:name w:val="WWNum1"/>
    <w:basedOn w:val="Bezlisty"/>
    <w:rsid w:val="00EE13CA"/>
    <w:pPr>
      <w:numPr>
        <w:numId w:val="1"/>
      </w:numPr>
    </w:pPr>
  </w:style>
  <w:style w:type="numbering" w:customStyle="1" w:styleId="WWNum2">
    <w:name w:val="WWNum2"/>
    <w:basedOn w:val="Bezlisty"/>
    <w:rsid w:val="00EE13CA"/>
    <w:pPr>
      <w:numPr>
        <w:numId w:val="2"/>
      </w:numPr>
    </w:pPr>
  </w:style>
  <w:style w:type="numbering" w:customStyle="1" w:styleId="WWNum3">
    <w:name w:val="WWNum3"/>
    <w:basedOn w:val="Bezlisty"/>
    <w:rsid w:val="00EE13CA"/>
    <w:pPr>
      <w:numPr>
        <w:numId w:val="3"/>
      </w:numPr>
    </w:pPr>
  </w:style>
  <w:style w:type="numbering" w:customStyle="1" w:styleId="WWNum42">
    <w:name w:val="WWNum42"/>
    <w:basedOn w:val="Bezlisty"/>
    <w:rsid w:val="00EE13CA"/>
    <w:pPr>
      <w:numPr>
        <w:numId w:val="4"/>
      </w:numPr>
    </w:pPr>
  </w:style>
  <w:style w:type="numbering" w:customStyle="1" w:styleId="WWNum43">
    <w:name w:val="WWNum43"/>
    <w:basedOn w:val="Bezlisty"/>
    <w:rsid w:val="00EE13CA"/>
    <w:pPr>
      <w:numPr>
        <w:numId w:val="5"/>
      </w:numPr>
    </w:pPr>
  </w:style>
  <w:style w:type="numbering" w:customStyle="1" w:styleId="WWNum44">
    <w:name w:val="WWNum44"/>
    <w:basedOn w:val="Bezlisty"/>
    <w:rsid w:val="00EE13CA"/>
    <w:pPr>
      <w:numPr>
        <w:numId w:val="6"/>
      </w:numPr>
    </w:pPr>
  </w:style>
  <w:style w:type="numbering" w:customStyle="1" w:styleId="WWNum45">
    <w:name w:val="WWNum45"/>
    <w:basedOn w:val="Bezlisty"/>
    <w:rsid w:val="00EE13CA"/>
    <w:pPr>
      <w:numPr>
        <w:numId w:val="7"/>
      </w:numPr>
    </w:pPr>
  </w:style>
  <w:style w:type="numbering" w:customStyle="1" w:styleId="WWNum4">
    <w:name w:val="WWNum4"/>
    <w:basedOn w:val="Bezlisty"/>
    <w:rsid w:val="00EE13CA"/>
    <w:pPr>
      <w:numPr>
        <w:numId w:val="17"/>
      </w:numPr>
    </w:pPr>
  </w:style>
  <w:style w:type="numbering" w:customStyle="1" w:styleId="WWNum5">
    <w:name w:val="WWNum5"/>
    <w:basedOn w:val="Bezlisty"/>
    <w:rsid w:val="00EE13CA"/>
    <w:pPr>
      <w:numPr>
        <w:numId w:val="18"/>
      </w:numPr>
    </w:pPr>
  </w:style>
  <w:style w:type="numbering" w:customStyle="1" w:styleId="WWNum6">
    <w:name w:val="WWNum6"/>
    <w:basedOn w:val="Bezlisty"/>
    <w:rsid w:val="00EE13CA"/>
    <w:pPr>
      <w:numPr>
        <w:numId w:val="19"/>
      </w:numPr>
    </w:pPr>
  </w:style>
  <w:style w:type="numbering" w:customStyle="1" w:styleId="WWNum8">
    <w:name w:val="WWNum8"/>
    <w:basedOn w:val="Bezlisty"/>
    <w:rsid w:val="00EE13CA"/>
    <w:pPr>
      <w:numPr>
        <w:numId w:val="20"/>
      </w:numPr>
    </w:pPr>
  </w:style>
  <w:style w:type="numbering" w:customStyle="1" w:styleId="WWNum9">
    <w:name w:val="WWNum9"/>
    <w:basedOn w:val="Bezlisty"/>
    <w:rsid w:val="00EE13CA"/>
    <w:pPr>
      <w:numPr>
        <w:numId w:val="21"/>
      </w:numPr>
    </w:pPr>
  </w:style>
  <w:style w:type="numbering" w:customStyle="1" w:styleId="WWNum10">
    <w:name w:val="WWNum10"/>
    <w:basedOn w:val="Bezlisty"/>
    <w:rsid w:val="00EE13CA"/>
    <w:pPr>
      <w:numPr>
        <w:numId w:val="22"/>
      </w:numPr>
    </w:pPr>
  </w:style>
  <w:style w:type="numbering" w:customStyle="1" w:styleId="WWNum11">
    <w:name w:val="WWNum11"/>
    <w:basedOn w:val="Bezlisty"/>
    <w:rsid w:val="00EE13CA"/>
    <w:pPr>
      <w:numPr>
        <w:numId w:val="23"/>
      </w:numPr>
    </w:pPr>
  </w:style>
  <w:style w:type="numbering" w:customStyle="1" w:styleId="WWNum46">
    <w:name w:val="WWNum46"/>
    <w:basedOn w:val="Bezlisty"/>
    <w:rsid w:val="00EE13CA"/>
    <w:pPr>
      <w:numPr>
        <w:numId w:val="24"/>
      </w:numPr>
    </w:pPr>
  </w:style>
  <w:style w:type="numbering" w:customStyle="1" w:styleId="WWNum13">
    <w:name w:val="WWNum13"/>
    <w:basedOn w:val="Bezlisty"/>
    <w:rsid w:val="00EE13CA"/>
    <w:pPr>
      <w:numPr>
        <w:numId w:val="33"/>
      </w:numPr>
    </w:pPr>
  </w:style>
  <w:style w:type="numbering" w:customStyle="1" w:styleId="WWNum15">
    <w:name w:val="WWNum15"/>
    <w:basedOn w:val="Bezlisty"/>
    <w:rsid w:val="00EE13CA"/>
    <w:pPr>
      <w:numPr>
        <w:numId w:val="34"/>
      </w:numPr>
    </w:pPr>
  </w:style>
  <w:style w:type="numbering" w:customStyle="1" w:styleId="WWNum16">
    <w:name w:val="WWNum16"/>
    <w:basedOn w:val="Bezlisty"/>
    <w:rsid w:val="00EE13CA"/>
    <w:pPr>
      <w:numPr>
        <w:numId w:val="35"/>
      </w:numPr>
    </w:pPr>
  </w:style>
  <w:style w:type="numbering" w:customStyle="1" w:styleId="WWNum17">
    <w:name w:val="WWNum17"/>
    <w:basedOn w:val="Bezlisty"/>
    <w:rsid w:val="00EE13CA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3CA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13C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EE13CA"/>
    <w:pPr>
      <w:ind w:left="720"/>
    </w:pPr>
  </w:style>
  <w:style w:type="paragraph" w:styleId="Bezodstpw">
    <w:name w:val="No Spacing"/>
    <w:rsid w:val="00EE13C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numbering" w:customStyle="1" w:styleId="WWNum1">
    <w:name w:val="WWNum1"/>
    <w:basedOn w:val="Bezlisty"/>
    <w:rsid w:val="00EE13CA"/>
    <w:pPr>
      <w:numPr>
        <w:numId w:val="1"/>
      </w:numPr>
    </w:pPr>
  </w:style>
  <w:style w:type="numbering" w:customStyle="1" w:styleId="WWNum2">
    <w:name w:val="WWNum2"/>
    <w:basedOn w:val="Bezlisty"/>
    <w:rsid w:val="00EE13CA"/>
    <w:pPr>
      <w:numPr>
        <w:numId w:val="2"/>
      </w:numPr>
    </w:pPr>
  </w:style>
  <w:style w:type="numbering" w:customStyle="1" w:styleId="WWNum3">
    <w:name w:val="WWNum3"/>
    <w:basedOn w:val="Bezlisty"/>
    <w:rsid w:val="00EE13CA"/>
    <w:pPr>
      <w:numPr>
        <w:numId w:val="3"/>
      </w:numPr>
    </w:pPr>
  </w:style>
  <w:style w:type="numbering" w:customStyle="1" w:styleId="WWNum42">
    <w:name w:val="WWNum42"/>
    <w:basedOn w:val="Bezlisty"/>
    <w:rsid w:val="00EE13CA"/>
    <w:pPr>
      <w:numPr>
        <w:numId w:val="4"/>
      </w:numPr>
    </w:pPr>
  </w:style>
  <w:style w:type="numbering" w:customStyle="1" w:styleId="WWNum43">
    <w:name w:val="WWNum43"/>
    <w:basedOn w:val="Bezlisty"/>
    <w:rsid w:val="00EE13CA"/>
    <w:pPr>
      <w:numPr>
        <w:numId w:val="5"/>
      </w:numPr>
    </w:pPr>
  </w:style>
  <w:style w:type="numbering" w:customStyle="1" w:styleId="WWNum44">
    <w:name w:val="WWNum44"/>
    <w:basedOn w:val="Bezlisty"/>
    <w:rsid w:val="00EE13CA"/>
    <w:pPr>
      <w:numPr>
        <w:numId w:val="6"/>
      </w:numPr>
    </w:pPr>
  </w:style>
  <w:style w:type="numbering" w:customStyle="1" w:styleId="WWNum45">
    <w:name w:val="WWNum45"/>
    <w:basedOn w:val="Bezlisty"/>
    <w:rsid w:val="00EE13CA"/>
    <w:pPr>
      <w:numPr>
        <w:numId w:val="7"/>
      </w:numPr>
    </w:pPr>
  </w:style>
  <w:style w:type="numbering" w:customStyle="1" w:styleId="WWNum4">
    <w:name w:val="WWNum4"/>
    <w:basedOn w:val="Bezlisty"/>
    <w:rsid w:val="00EE13CA"/>
    <w:pPr>
      <w:numPr>
        <w:numId w:val="17"/>
      </w:numPr>
    </w:pPr>
  </w:style>
  <w:style w:type="numbering" w:customStyle="1" w:styleId="WWNum5">
    <w:name w:val="WWNum5"/>
    <w:basedOn w:val="Bezlisty"/>
    <w:rsid w:val="00EE13CA"/>
    <w:pPr>
      <w:numPr>
        <w:numId w:val="18"/>
      </w:numPr>
    </w:pPr>
  </w:style>
  <w:style w:type="numbering" w:customStyle="1" w:styleId="WWNum6">
    <w:name w:val="WWNum6"/>
    <w:basedOn w:val="Bezlisty"/>
    <w:rsid w:val="00EE13CA"/>
    <w:pPr>
      <w:numPr>
        <w:numId w:val="19"/>
      </w:numPr>
    </w:pPr>
  </w:style>
  <w:style w:type="numbering" w:customStyle="1" w:styleId="WWNum8">
    <w:name w:val="WWNum8"/>
    <w:basedOn w:val="Bezlisty"/>
    <w:rsid w:val="00EE13CA"/>
    <w:pPr>
      <w:numPr>
        <w:numId w:val="20"/>
      </w:numPr>
    </w:pPr>
  </w:style>
  <w:style w:type="numbering" w:customStyle="1" w:styleId="WWNum9">
    <w:name w:val="WWNum9"/>
    <w:basedOn w:val="Bezlisty"/>
    <w:rsid w:val="00EE13CA"/>
    <w:pPr>
      <w:numPr>
        <w:numId w:val="21"/>
      </w:numPr>
    </w:pPr>
  </w:style>
  <w:style w:type="numbering" w:customStyle="1" w:styleId="WWNum10">
    <w:name w:val="WWNum10"/>
    <w:basedOn w:val="Bezlisty"/>
    <w:rsid w:val="00EE13CA"/>
    <w:pPr>
      <w:numPr>
        <w:numId w:val="22"/>
      </w:numPr>
    </w:pPr>
  </w:style>
  <w:style w:type="numbering" w:customStyle="1" w:styleId="WWNum11">
    <w:name w:val="WWNum11"/>
    <w:basedOn w:val="Bezlisty"/>
    <w:rsid w:val="00EE13CA"/>
    <w:pPr>
      <w:numPr>
        <w:numId w:val="23"/>
      </w:numPr>
    </w:pPr>
  </w:style>
  <w:style w:type="numbering" w:customStyle="1" w:styleId="WWNum46">
    <w:name w:val="WWNum46"/>
    <w:basedOn w:val="Bezlisty"/>
    <w:rsid w:val="00EE13CA"/>
    <w:pPr>
      <w:numPr>
        <w:numId w:val="24"/>
      </w:numPr>
    </w:pPr>
  </w:style>
  <w:style w:type="numbering" w:customStyle="1" w:styleId="WWNum13">
    <w:name w:val="WWNum13"/>
    <w:basedOn w:val="Bezlisty"/>
    <w:rsid w:val="00EE13CA"/>
    <w:pPr>
      <w:numPr>
        <w:numId w:val="33"/>
      </w:numPr>
    </w:pPr>
  </w:style>
  <w:style w:type="numbering" w:customStyle="1" w:styleId="WWNum15">
    <w:name w:val="WWNum15"/>
    <w:basedOn w:val="Bezlisty"/>
    <w:rsid w:val="00EE13CA"/>
    <w:pPr>
      <w:numPr>
        <w:numId w:val="34"/>
      </w:numPr>
    </w:pPr>
  </w:style>
  <w:style w:type="numbering" w:customStyle="1" w:styleId="WWNum16">
    <w:name w:val="WWNum16"/>
    <w:basedOn w:val="Bezlisty"/>
    <w:rsid w:val="00EE13CA"/>
    <w:pPr>
      <w:numPr>
        <w:numId w:val="35"/>
      </w:numPr>
    </w:pPr>
  </w:style>
  <w:style w:type="numbering" w:customStyle="1" w:styleId="WWNum17">
    <w:name w:val="WWNum17"/>
    <w:basedOn w:val="Bezlisty"/>
    <w:rsid w:val="00EE13C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2195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2024-02-13T07:48:00Z</dcterms:created>
  <dcterms:modified xsi:type="dcterms:W3CDTF">2024-02-13T07:50:00Z</dcterms:modified>
</cp:coreProperties>
</file>